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10" w:type="dxa"/>
        <w:tblInd w:w="7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870"/>
        <w:gridCol w:w="3510"/>
        <w:gridCol w:w="1530"/>
      </w:tblGrid>
      <w:tr w:rsidR="00512486" w:rsidRPr="00417EAB" w14:paraId="4797E83B" w14:textId="77777777" w:rsidTr="0033626F">
        <w:trPr>
          <w:trHeight w:val="280"/>
        </w:trPr>
        <w:tc>
          <w:tcPr>
            <w:tcW w:w="8910" w:type="dxa"/>
            <w:gridSpan w:val="3"/>
          </w:tcPr>
          <w:p w14:paraId="65CEBF90" w14:textId="77777777" w:rsidR="00512486" w:rsidRPr="0033626F" w:rsidRDefault="00A65BC9" w:rsidP="0033626F">
            <w:pPr>
              <w:rPr>
                <w:color w:val="FF0000"/>
                <w:sz w:val="20"/>
                <w:szCs w:val="20"/>
              </w:rPr>
            </w:pPr>
            <w:r w:rsidRPr="0033626F">
              <w:rPr>
                <w:rFonts w:ascii="TimesNewRomanPS-BoldMT" w:hAnsi="TimesNewRomanPS-BoldMT" w:cs="TimesNewRomanPS-BoldMT"/>
                <w:b/>
                <w:bCs/>
                <w:color w:val="FF0000"/>
                <w:sz w:val="20"/>
                <w:szCs w:val="20"/>
              </w:rPr>
              <w:t>MANDATORY MEASURES SUMMARY</w:t>
            </w:r>
            <w:r w:rsidR="00F92345" w:rsidRPr="0033626F">
              <w:rPr>
                <w:rFonts w:ascii="TimesNewRomanPS-BoldMT" w:hAnsi="TimesNewRomanPS-BoldMT" w:cs="TimesNewRomanPS-BoldMT"/>
                <w:b/>
                <w:bCs/>
                <w:color w:val="FF0000"/>
                <w:sz w:val="20"/>
                <w:szCs w:val="20"/>
              </w:rPr>
              <w:t xml:space="preserve">                            </w:t>
            </w:r>
            <w:r w:rsidRPr="0033626F">
              <w:rPr>
                <w:rFonts w:ascii="TimesNewRomanPS-BoldMT" w:hAnsi="TimesNewRomanPS-BoldMT" w:cs="TimesNewRomanPS-BoldMT"/>
                <w:b/>
                <w:bCs/>
                <w:color w:val="FF0000"/>
                <w:sz w:val="20"/>
                <w:szCs w:val="20"/>
              </w:rPr>
              <w:t xml:space="preserve">               </w:t>
            </w:r>
            <w:r w:rsidR="00935C76" w:rsidRPr="0033626F">
              <w:rPr>
                <w:rFonts w:ascii="TimesNewRomanPS-BoldMT" w:hAnsi="TimesNewRomanPS-BoldMT" w:cs="TimesNewRomanPS-BoldMT"/>
                <w:b/>
                <w:bCs/>
                <w:color w:val="FF0000"/>
                <w:sz w:val="20"/>
                <w:szCs w:val="20"/>
              </w:rPr>
              <w:t xml:space="preserve">                   </w:t>
            </w:r>
            <w:r w:rsidRPr="0033626F">
              <w:rPr>
                <w:rFonts w:ascii="TimesNewRomanPS-BoldMT" w:hAnsi="TimesNewRomanPS-BoldMT" w:cs="TimesNewRomanPS-BoldMT"/>
                <w:b/>
                <w:bCs/>
                <w:color w:val="FF0000"/>
                <w:sz w:val="20"/>
                <w:szCs w:val="20"/>
              </w:rPr>
              <w:t>MF-</w:t>
            </w:r>
            <w:r w:rsidR="00512486" w:rsidRPr="0033626F">
              <w:rPr>
                <w:rFonts w:ascii="TimesNewRomanPS-BoldMT" w:hAnsi="TimesNewRomanPS-BoldMT" w:cs="TimesNewRomanPS-BoldMT"/>
                <w:b/>
                <w:bCs/>
                <w:color w:val="FF0000"/>
                <w:sz w:val="20"/>
                <w:szCs w:val="20"/>
              </w:rPr>
              <w:t>1R</w:t>
            </w:r>
            <w:r w:rsidR="0022162D" w:rsidRPr="0033626F">
              <w:rPr>
                <w:rFonts w:ascii="TimesNewRomanPS-BoldMT" w:hAnsi="TimesNewRomanPS-BoldMT" w:cs="TimesNewRomanPS-BoldMT"/>
                <w:b/>
                <w:bCs/>
                <w:color w:val="FF0000"/>
                <w:sz w:val="20"/>
                <w:szCs w:val="20"/>
              </w:rPr>
              <w:t xml:space="preserve">  POOL</w:t>
            </w:r>
            <w:r w:rsidR="009A1D9F" w:rsidRPr="0033626F">
              <w:rPr>
                <w:rFonts w:ascii="TimesNewRomanPS-BoldMT" w:hAnsi="TimesNewRomanPS-BoldMT" w:cs="TimesNewRomanPS-BoldMT"/>
                <w:b/>
                <w:bCs/>
                <w:color w:val="FF0000"/>
                <w:sz w:val="20"/>
                <w:szCs w:val="20"/>
              </w:rPr>
              <w:t xml:space="preserve"> </w:t>
            </w:r>
            <w:r w:rsidR="0022162D" w:rsidRPr="0033626F">
              <w:rPr>
                <w:rFonts w:ascii="TimesNewRomanPS-BoldMT" w:hAnsi="TimesNewRomanPS-BoldMT" w:cs="TimesNewRomanPS-BoldMT"/>
                <w:b/>
                <w:bCs/>
                <w:color w:val="FF0000"/>
                <w:sz w:val="20"/>
                <w:szCs w:val="20"/>
              </w:rPr>
              <w:t>&amp;</w:t>
            </w:r>
            <w:r w:rsidR="009A1D9F" w:rsidRPr="0033626F">
              <w:rPr>
                <w:rFonts w:ascii="TimesNewRomanPS-BoldMT" w:hAnsi="TimesNewRomanPS-BoldMT" w:cs="TimesNewRomanPS-BoldMT"/>
                <w:b/>
                <w:bCs/>
                <w:color w:val="FF0000"/>
                <w:sz w:val="20"/>
                <w:szCs w:val="20"/>
              </w:rPr>
              <w:t xml:space="preserve"> </w:t>
            </w:r>
            <w:r w:rsidR="0022162D" w:rsidRPr="0033626F">
              <w:rPr>
                <w:rFonts w:ascii="TimesNewRomanPS-BoldMT" w:hAnsi="TimesNewRomanPS-BoldMT" w:cs="TimesNewRomanPS-BoldMT"/>
                <w:b/>
                <w:bCs/>
                <w:color w:val="FF0000"/>
                <w:sz w:val="20"/>
                <w:szCs w:val="20"/>
              </w:rPr>
              <w:t>SPA</w:t>
            </w:r>
          </w:p>
        </w:tc>
      </w:tr>
      <w:tr w:rsidR="00512486" w:rsidRPr="00417EAB" w14:paraId="1D41F5D2" w14:textId="77777777" w:rsidTr="0033626F">
        <w:trPr>
          <w:trHeight w:val="317"/>
        </w:trPr>
        <w:tc>
          <w:tcPr>
            <w:tcW w:w="8910" w:type="dxa"/>
            <w:gridSpan w:val="3"/>
          </w:tcPr>
          <w:p w14:paraId="29B4EF02" w14:textId="77777777" w:rsidR="00512486" w:rsidRPr="0033626F" w:rsidRDefault="00F92345" w:rsidP="0033626F">
            <w:pPr>
              <w:rPr>
                <w:rFonts w:ascii="Times New Roman" w:hAnsi="Times New Roman" w:cs="Times New Roman"/>
                <w:color w:val="FF0000"/>
                <w:sz w:val="20"/>
                <w:szCs w:val="20"/>
              </w:rPr>
            </w:pPr>
            <w:r w:rsidRPr="0033626F">
              <w:rPr>
                <w:rFonts w:ascii="Times New Roman" w:hAnsi="Times New Roman" w:cs="Times New Roman"/>
                <w:b/>
                <w:bCs/>
                <w:iCs/>
                <w:color w:val="FF0000"/>
                <w:sz w:val="20"/>
                <w:szCs w:val="20"/>
              </w:rPr>
              <w:t xml:space="preserve">Pool and Spa Heating Systems and Equipment </w:t>
            </w:r>
            <w:r w:rsidR="0033626F" w:rsidRPr="0033626F">
              <w:rPr>
                <w:rFonts w:ascii="Times New Roman" w:hAnsi="Times New Roman" w:cs="Times New Roman"/>
                <w:b/>
                <w:bCs/>
                <w:iCs/>
                <w:color w:val="FF0000"/>
                <w:sz w:val="20"/>
                <w:szCs w:val="20"/>
              </w:rPr>
              <w:t xml:space="preserve">Mandatory </w:t>
            </w:r>
            <w:r w:rsidRPr="0033626F">
              <w:rPr>
                <w:rFonts w:ascii="Times New Roman" w:hAnsi="Times New Roman" w:cs="Times New Roman"/>
                <w:b/>
                <w:bCs/>
                <w:iCs/>
                <w:color w:val="FF0000"/>
                <w:sz w:val="20"/>
                <w:szCs w:val="20"/>
              </w:rPr>
              <w:t>Measures</w:t>
            </w:r>
            <w:r w:rsidR="00512486" w:rsidRPr="0033626F">
              <w:rPr>
                <w:rFonts w:ascii="Times New Roman" w:hAnsi="Times New Roman" w:cs="Times New Roman"/>
                <w:b/>
                <w:bCs/>
                <w:iCs/>
                <w:color w:val="FF0000"/>
                <w:sz w:val="20"/>
                <w:szCs w:val="20"/>
              </w:rPr>
              <w:t xml:space="preserve"> </w:t>
            </w:r>
            <w:r w:rsidR="0033626F" w:rsidRPr="0033626F">
              <w:rPr>
                <w:rFonts w:ascii="Times New Roman" w:hAnsi="Times New Roman" w:cs="Times New Roman"/>
                <w:b/>
                <w:bCs/>
                <w:iCs/>
                <w:color w:val="FF0000"/>
                <w:sz w:val="20"/>
                <w:szCs w:val="20"/>
              </w:rPr>
              <w:t xml:space="preserve"> </w:t>
            </w:r>
            <w:r w:rsidR="00935C76" w:rsidRPr="0033626F">
              <w:rPr>
                <w:rFonts w:ascii="Times New Roman" w:hAnsi="Times New Roman" w:cs="Times New Roman"/>
                <w:b/>
                <w:bCs/>
                <w:iCs/>
                <w:color w:val="FF0000"/>
                <w:sz w:val="20"/>
                <w:szCs w:val="20"/>
              </w:rPr>
              <w:t xml:space="preserve">                                 </w:t>
            </w:r>
            <w:r w:rsidR="00635ACB" w:rsidRPr="0033626F">
              <w:rPr>
                <w:rFonts w:ascii="Times New Roman" w:hAnsi="Times New Roman" w:cs="Times New Roman"/>
                <w:b/>
                <w:bCs/>
                <w:color w:val="FF0000"/>
                <w:sz w:val="20"/>
                <w:szCs w:val="20"/>
              </w:rPr>
              <w:t>(Page 1 of 1</w:t>
            </w:r>
            <w:r w:rsidR="00512486" w:rsidRPr="0033626F">
              <w:rPr>
                <w:rFonts w:ascii="Times New Roman" w:hAnsi="Times New Roman" w:cs="Times New Roman"/>
                <w:b/>
                <w:bCs/>
                <w:color w:val="FF0000"/>
                <w:sz w:val="20"/>
                <w:szCs w:val="20"/>
              </w:rPr>
              <w:t>)</w:t>
            </w:r>
          </w:p>
        </w:tc>
      </w:tr>
      <w:tr w:rsidR="00512486" w:rsidRPr="00417EAB" w14:paraId="55D054A1" w14:textId="77777777" w:rsidTr="0033626F">
        <w:trPr>
          <w:trHeight w:val="235"/>
        </w:trPr>
        <w:tc>
          <w:tcPr>
            <w:tcW w:w="3870" w:type="dxa"/>
          </w:tcPr>
          <w:p w14:paraId="068047D1" w14:textId="77777777" w:rsidR="00512486" w:rsidRPr="0033626F" w:rsidRDefault="00A2404D" w:rsidP="0033626F">
            <w:pPr>
              <w:rPr>
                <w:color w:val="FF0000"/>
                <w:sz w:val="20"/>
                <w:szCs w:val="20"/>
              </w:rPr>
            </w:pPr>
            <w:r w:rsidRPr="0033626F">
              <w:rPr>
                <w:rFonts w:ascii="TimesNewRomanPS-BoldMT" w:hAnsi="TimesNewRomanPS-BoldMT" w:cs="TimesNewRomanPS-BoldMT"/>
                <w:b/>
                <w:bCs/>
                <w:color w:val="FF0000"/>
                <w:sz w:val="20"/>
                <w:szCs w:val="20"/>
              </w:rPr>
              <w:t>Site Address</w:t>
            </w:r>
            <w:r w:rsidR="00512486" w:rsidRPr="0033626F">
              <w:rPr>
                <w:rFonts w:ascii="TimesNewRomanPS-BoldMT" w:hAnsi="TimesNewRomanPS-BoldMT" w:cs="TimesNewRomanPS-BoldMT"/>
                <w:b/>
                <w:bCs/>
                <w:color w:val="FF0000"/>
                <w:sz w:val="20"/>
                <w:szCs w:val="20"/>
              </w:rPr>
              <w:t>:</w:t>
            </w:r>
          </w:p>
        </w:tc>
        <w:tc>
          <w:tcPr>
            <w:tcW w:w="3510" w:type="dxa"/>
          </w:tcPr>
          <w:p w14:paraId="024FDE31" w14:textId="77777777" w:rsidR="00512486" w:rsidRPr="0033626F" w:rsidRDefault="00F92345" w:rsidP="0033626F">
            <w:pPr>
              <w:rPr>
                <w:rFonts w:ascii="TimesNewRomanPS-BoldMT" w:hAnsi="TimesNewRomanPS-BoldMT" w:cs="TimesNewRomanPS-BoldMT"/>
                <w:b/>
                <w:bCs/>
                <w:color w:val="FF0000"/>
                <w:sz w:val="20"/>
                <w:szCs w:val="20"/>
              </w:rPr>
            </w:pPr>
            <w:r w:rsidRPr="0033626F">
              <w:rPr>
                <w:rFonts w:ascii="TimesNewRomanPS-BoldMT" w:hAnsi="TimesNewRomanPS-BoldMT" w:cs="TimesNewRomanPS-BoldMT"/>
                <w:b/>
                <w:bCs/>
                <w:color w:val="FF0000"/>
                <w:sz w:val="20"/>
                <w:szCs w:val="20"/>
              </w:rPr>
              <w:t>Enforcement Agency: City of Ontario</w:t>
            </w:r>
          </w:p>
        </w:tc>
        <w:tc>
          <w:tcPr>
            <w:tcW w:w="1530" w:type="dxa"/>
          </w:tcPr>
          <w:p w14:paraId="4D0BB94B" w14:textId="77777777" w:rsidR="00A2404D" w:rsidRPr="0033626F" w:rsidRDefault="00F92345" w:rsidP="0033626F">
            <w:pPr>
              <w:rPr>
                <w:rFonts w:ascii="TimesNewRomanPS-BoldMT" w:hAnsi="TimesNewRomanPS-BoldMT" w:cs="TimesNewRomanPS-BoldMT"/>
                <w:b/>
                <w:bCs/>
                <w:color w:val="FF0000"/>
                <w:sz w:val="20"/>
                <w:szCs w:val="20"/>
              </w:rPr>
            </w:pPr>
            <w:r w:rsidRPr="0033626F">
              <w:rPr>
                <w:rFonts w:ascii="TimesNewRomanPS-BoldMT" w:hAnsi="TimesNewRomanPS-BoldMT" w:cs="TimesNewRomanPS-BoldMT"/>
                <w:b/>
                <w:bCs/>
                <w:color w:val="FF0000"/>
                <w:sz w:val="20"/>
                <w:szCs w:val="20"/>
              </w:rPr>
              <w:t>Date:</w:t>
            </w:r>
          </w:p>
        </w:tc>
      </w:tr>
    </w:tbl>
    <w:p w14:paraId="344B81ED" w14:textId="77777777" w:rsidR="00D83196" w:rsidRPr="00417EAB" w:rsidRDefault="00935C76" w:rsidP="00411CBA">
      <w:pPr>
        <w:spacing w:after="0"/>
        <w:rPr>
          <w:rFonts w:ascii="Times New Roman" w:hAnsi="Times New Roman" w:cs="Times New Roman"/>
          <w:sz w:val="20"/>
          <w:szCs w:val="20"/>
        </w:rPr>
      </w:pPr>
      <w:r w:rsidRPr="00417EAB">
        <w:rPr>
          <w:noProof/>
        </w:rPr>
        <w:drawing>
          <wp:anchor distT="0" distB="0" distL="114300" distR="114300" simplePos="0" relativeHeight="251658240" behindDoc="0" locked="0" layoutInCell="1" allowOverlap="1" wp14:anchorId="2F15F4AC" wp14:editId="5FF36187">
            <wp:simplePos x="0" y="0"/>
            <wp:positionH relativeFrom="column">
              <wp:posOffset>1905</wp:posOffset>
            </wp:positionH>
            <wp:positionV relativeFrom="paragraph">
              <wp:posOffset>-593090</wp:posOffset>
            </wp:positionV>
            <wp:extent cx="521335" cy="5499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335" cy="549910"/>
                    </a:xfrm>
                    <a:prstGeom prst="rect">
                      <a:avLst/>
                    </a:prstGeom>
                  </pic:spPr>
                </pic:pic>
              </a:graphicData>
            </a:graphic>
            <wp14:sizeRelV relativeFrom="margin">
              <wp14:pctHeight>0</wp14:pctHeight>
            </wp14:sizeRelV>
          </wp:anchor>
        </w:drawing>
      </w:r>
    </w:p>
    <w:tbl>
      <w:tblPr>
        <w:tblStyle w:val="TableGrid"/>
        <w:tblW w:w="10278" w:type="dxa"/>
        <w:tblBorders>
          <w:top w:val="single" w:sz="12" w:space="0" w:color="000000" w:themeColor="text1"/>
          <w:left w:val="single" w:sz="12" w:space="0" w:color="000000" w:themeColor="text1"/>
          <w:bottom w:val="single" w:sz="18" w:space="0" w:color="000000" w:themeColor="text1"/>
          <w:right w:val="single" w:sz="12" w:space="0" w:color="000000" w:themeColor="text1"/>
        </w:tblBorders>
        <w:tblLook w:val="04A0" w:firstRow="1" w:lastRow="0" w:firstColumn="1" w:lastColumn="0" w:noHBand="0" w:noVBand="1"/>
      </w:tblPr>
      <w:tblGrid>
        <w:gridCol w:w="10278"/>
      </w:tblGrid>
      <w:tr w:rsidR="00D83196" w:rsidRPr="00417EAB" w14:paraId="03E35CFA" w14:textId="77777777" w:rsidTr="00AA4EBC">
        <w:tc>
          <w:tcPr>
            <w:tcW w:w="10278" w:type="dxa"/>
            <w:shd w:val="clear" w:color="auto" w:fill="404040" w:themeFill="text1" w:themeFillTint="BF"/>
          </w:tcPr>
          <w:p w14:paraId="4FC427FB" w14:textId="45E17A1D" w:rsidR="003958ED" w:rsidRPr="00AA4EBC" w:rsidRDefault="00621261">
            <w:pPr>
              <w:rPr>
                <w:rFonts w:ascii="TimesNewRomanPS-BoldMT" w:hAnsi="TimesNewRomanPS-BoldMT" w:cs="TimesNewRomanPS-BoldMT"/>
                <w:b/>
                <w:bCs/>
                <w:color w:val="FFFFFF" w:themeColor="background1"/>
                <w:sz w:val="20"/>
                <w:szCs w:val="20"/>
              </w:rPr>
            </w:pPr>
            <w:r w:rsidRPr="00AA4EBC">
              <w:rPr>
                <w:rFonts w:ascii="TimesNewRomanPS-BoldMT" w:hAnsi="TimesNewRomanPS-BoldMT" w:cs="TimesNewRomanPS-BoldMT"/>
                <w:b/>
                <w:bCs/>
                <w:color w:val="FFFFFF" w:themeColor="background1"/>
                <w:sz w:val="20"/>
                <w:szCs w:val="20"/>
              </w:rPr>
              <w:t>20</w:t>
            </w:r>
            <w:r w:rsidR="00DB5C07">
              <w:rPr>
                <w:rFonts w:ascii="TimesNewRomanPS-BoldMT" w:hAnsi="TimesNewRomanPS-BoldMT" w:cs="TimesNewRomanPS-BoldMT"/>
                <w:b/>
                <w:bCs/>
                <w:color w:val="FFFFFF" w:themeColor="background1"/>
                <w:sz w:val="20"/>
                <w:szCs w:val="20"/>
              </w:rPr>
              <w:t>22</w:t>
            </w:r>
            <w:r w:rsidR="003958ED" w:rsidRPr="00AA4EBC">
              <w:rPr>
                <w:rFonts w:ascii="TimesNewRomanPS-BoldMT" w:hAnsi="TimesNewRomanPS-BoldMT" w:cs="TimesNewRomanPS-BoldMT"/>
                <w:b/>
                <w:bCs/>
                <w:color w:val="FFFFFF" w:themeColor="background1"/>
                <w:sz w:val="20"/>
                <w:szCs w:val="20"/>
              </w:rPr>
              <w:t xml:space="preserve"> BUILDING ENERGY EFFICIENCY STANDARDS</w:t>
            </w:r>
            <w:r w:rsidRPr="00AA4EBC">
              <w:rPr>
                <w:rFonts w:ascii="TimesNewRomanPS-BoldMT" w:hAnsi="TimesNewRomanPS-BoldMT" w:cs="TimesNewRomanPS-BoldMT"/>
                <w:b/>
                <w:bCs/>
                <w:color w:val="FFFFFF" w:themeColor="background1"/>
                <w:sz w:val="20"/>
                <w:szCs w:val="20"/>
              </w:rPr>
              <w:t xml:space="preserve"> (effective 1/1/202</w:t>
            </w:r>
            <w:r w:rsidR="00DB5C07">
              <w:rPr>
                <w:rFonts w:ascii="TimesNewRomanPS-BoldMT" w:hAnsi="TimesNewRomanPS-BoldMT" w:cs="TimesNewRomanPS-BoldMT"/>
                <w:b/>
                <w:bCs/>
                <w:color w:val="FFFFFF" w:themeColor="background1"/>
                <w:sz w:val="20"/>
                <w:szCs w:val="20"/>
              </w:rPr>
              <w:t>3</w:t>
            </w:r>
            <w:r w:rsidR="005405FD" w:rsidRPr="00AA4EBC">
              <w:rPr>
                <w:rFonts w:ascii="TimesNewRomanPS-BoldMT" w:hAnsi="TimesNewRomanPS-BoldMT" w:cs="TimesNewRomanPS-BoldMT"/>
                <w:b/>
                <w:bCs/>
                <w:color w:val="FFFFFF" w:themeColor="background1"/>
                <w:sz w:val="20"/>
                <w:szCs w:val="20"/>
              </w:rPr>
              <w:t>)</w:t>
            </w:r>
            <w:r w:rsidR="00DE0F8B" w:rsidRPr="00AA4EBC">
              <w:rPr>
                <w:rFonts w:ascii="TimesNewRomanPS-BoldMT" w:hAnsi="TimesNewRomanPS-BoldMT" w:cs="TimesNewRomanPS-BoldMT"/>
                <w:b/>
                <w:bCs/>
                <w:color w:val="FFFFFF" w:themeColor="background1"/>
                <w:sz w:val="20"/>
                <w:szCs w:val="20"/>
              </w:rPr>
              <w:t>.</w:t>
            </w:r>
            <w:r w:rsidR="003958ED" w:rsidRPr="00AA4EBC">
              <w:rPr>
                <w:rFonts w:ascii="TimesNewRomanPS-BoldMT" w:hAnsi="TimesNewRomanPS-BoldMT" w:cs="TimesNewRomanPS-BoldMT"/>
                <w:b/>
                <w:bCs/>
                <w:color w:val="FFFFFF" w:themeColor="background1"/>
                <w:sz w:val="20"/>
                <w:szCs w:val="20"/>
              </w:rPr>
              <w:t xml:space="preserve"> </w:t>
            </w:r>
          </w:p>
          <w:p w14:paraId="333E9B94" w14:textId="77777777" w:rsidR="00D83196" w:rsidRPr="00417EAB" w:rsidRDefault="00F92345">
            <w:r w:rsidRPr="00AA4EBC">
              <w:rPr>
                <w:rFonts w:ascii="TimesNewRomanPS-BoldMT" w:hAnsi="TimesNewRomanPS-BoldMT" w:cs="TimesNewRomanPS-BoldMT"/>
                <w:b/>
                <w:bCs/>
                <w:color w:val="FFFFFF" w:themeColor="background1"/>
                <w:sz w:val="20"/>
                <w:szCs w:val="20"/>
              </w:rPr>
              <w:t>MANDATORY REQUIREMENTS FOR POOL AND SPA SYSTEMS AND EQUIPMENT</w:t>
            </w:r>
            <w:r w:rsidR="003958ED" w:rsidRPr="00AA4EBC">
              <w:rPr>
                <w:rFonts w:ascii="TimesNewRomanPS-BoldMT" w:hAnsi="TimesNewRomanPS-BoldMT" w:cs="TimesNewRomanPS-BoldMT"/>
                <w:b/>
                <w:bCs/>
                <w:color w:val="FFFFFF" w:themeColor="background1"/>
                <w:sz w:val="20"/>
                <w:szCs w:val="20"/>
              </w:rPr>
              <w:t>:</w:t>
            </w:r>
          </w:p>
        </w:tc>
      </w:tr>
      <w:tr w:rsidR="008143BD" w:rsidRPr="00417EAB" w14:paraId="7C4A2447" w14:textId="77777777" w:rsidTr="00B93A4A">
        <w:trPr>
          <w:trHeight w:val="1008"/>
        </w:trPr>
        <w:tc>
          <w:tcPr>
            <w:tcW w:w="10278" w:type="dxa"/>
          </w:tcPr>
          <w:p w14:paraId="44729EFD" w14:textId="77777777" w:rsidR="008A2F63" w:rsidRPr="00417EAB" w:rsidRDefault="008A2F63" w:rsidP="008D2F94">
            <w:pPr>
              <w:autoSpaceDE w:val="0"/>
              <w:autoSpaceDN w:val="0"/>
              <w:adjustRightInd w:val="0"/>
              <w:ind w:left="1170" w:hanging="1170"/>
            </w:pPr>
            <w:r w:rsidRPr="00417EAB">
              <w:rPr>
                <w:rFonts w:ascii="TimesNewRomanPSMT" w:hAnsi="TimesNewRomanPSMT" w:cs="TimesNewRomanPSMT"/>
                <w:sz w:val="18"/>
                <w:szCs w:val="18"/>
              </w:rPr>
              <w:t>§11</w:t>
            </w:r>
            <w:r w:rsidR="00B828E6" w:rsidRPr="00417EAB">
              <w:rPr>
                <w:rFonts w:ascii="TimesNewRomanPSMT" w:hAnsi="TimesNewRomanPSMT" w:cs="TimesNewRomanPSMT"/>
                <w:sz w:val="18"/>
                <w:szCs w:val="18"/>
              </w:rPr>
              <w:t>0.</w:t>
            </w:r>
            <w:r w:rsidRPr="00417EAB">
              <w:rPr>
                <w:rFonts w:ascii="TimesNewRomanPSMT" w:hAnsi="TimesNewRomanPSMT" w:cs="TimesNewRomanPSMT"/>
                <w:sz w:val="18"/>
                <w:szCs w:val="18"/>
              </w:rPr>
              <w:t>4(a):  Any pool or spa heating system shall be certified to have: a thermal efficiency that complies with the Appliance Efficiency Regulations; an on-off switch mounted outside of the heater; a permanent weatherproof plate or card with operating instructions; and shall not use electric resistance heating or a pilot light.</w:t>
            </w:r>
          </w:p>
        </w:tc>
      </w:tr>
      <w:tr w:rsidR="008A2F63" w:rsidRPr="00417EAB" w14:paraId="210DE2AF" w14:textId="77777777" w:rsidTr="00B93A4A">
        <w:tc>
          <w:tcPr>
            <w:tcW w:w="10278" w:type="dxa"/>
          </w:tcPr>
          <w:p w14:paraId="435EA5DD" w14:textId="77777777" w:rsidR="008A2F63" w:rsidRPr="00417EAB" w:rsidRDefault="008A2F63" w:rsidP="00462926">
            <w:pPr>
              <w:autoSpaceDE w:val="0"/>
              <w:autoSpaceDN w:val="0"/>
              <w:adjustRightInd w:val="0"/>
              <w:ind w:left="1170" w:hanging="1170"/>
            </w:pPr>
            <w:r w:rsidRPr="00417EAB">
              <w:rPr>
                <w:rFonts w:ascii="TimesNewRomanPSMT" w:hAnsi="TimesNewRomanPSMT" w:cs="TimesNewRomanPSMT"/>
                <w:sz w:val="18"/>
                <w:szCs w:val="18"/>
              </w:rPr>
              <w:t>§11</w:t>
            </w:r>
            <w:r w:rsidR="008D2F94" w:rsidRPr="00417EAB">
              <w:rPr>
                <w:rFonts w:ascii="TimesNewRomanPSMT" w:hAnsi="TimesNewRomanPSMT" w:cs="TimesNewRomanPSMT"/>
                <w:sz w:val="18"/>
                <w:szCs w:val="18"/>
              </w:rPr>
              <w:t>0.</w:t>
            </w:r>
            <w:r w:rsidRPr="00417EAB">
              <w:rPr>
                <w:rFonts w:ascii="TimesNewRomanPSMT" w:hAnsi="TimesNewRomanPSMT" w:cs="TimesNewRomanPSMT"/>
                <w:sz w:val="18"/>
                <w:szCs w:val="18"/>
              </w:rPr>
              <w:t>4(b)1: Any pool or spa heating equipment shall be installed with at least 36” of pipe between filter and    heater, or dedicated suction and return lines, or built-up connections for future solar heating</w:t>
            </w:r>
            <w:r w:rsidR="00621261" w:rsidRPr="00417EAB">
              <w:rPr>
                <w:rFonts w:ascii="TimesNewRomanPSMT" w:hAnsi="TimesNewRomanPSMT" w:cs="TimesNewRomanPSMT"/>
                <w:sz w:val="18"/>
                <w:szCs w:val="18"/>
              </w:rPr>
              <w:t>.</w:t>
            </w:r>
          </w:p>
        </w:tc>
      </w:tr>
      <w:tr w:rsidR="008A2F63" w:rsidRPr="00417EAB" w14:paraId="1215A468" w14:textId="77777777" w:rsidTr="00B93A4A">
        <w:tc>
          <w:tcPr>
            <w:tcW w:w="10278" w:type="dxa"/>
          </w:tcPr>
          <w:p w14:paraId="2CBE0D6C" w14:textId="77777777" w:rsidR="008A2F63" w:rsidRPr="00417EAB" w:rsidRDefault="008A2F63" w:rsidP="008A2F63">
            <w:pPr>
              <w:autoSpaceDE w:val="0"/>
              <w:autoSpaceDN w:val="0"/>
              <w:adjustRightInd w:val="0"/>
              <w:rPr>
                <w:rFonts w:ascii="TimesNewRomanPSMT" w:hAnsi="TimesNewRomanPSMT" w:cs="TimesNewRomanPSMT"/>
                <w:sz w:val="18"/>
                <w:szCs w:val="18"/>
              </w:rPr>
            </w:pPr>
            <w:r w:rsidRPr="00417EAB">
              <w:rPr>
                <w:rFonts w:ascii="TimesNewRomanPSMT" w:hAnsi="TimesNewRomanPSMT" w:cs="TimesNewRomanPSMT"/>
                <w:sz w:val="18"/>
                <w:szCs w:val="18"/>
              </w:rPr>
              <w:t>§11</w:t>
            </w:r>
            <w:r w:rsidR="008D2F94" w:rsidRPr="00417EAB">
              <w:rPr>
                <w:rFonts w:ascii="TimesNewRomanPSMT" w:hAnsi="TimesNewRomanPSMT" w:cs="TimesNewRomanPSMT"/>
                <w:sz w:val="18"/>
                <w:szCs w:val="18"/>
              </w:rPr>
              <w:t>0.</w:t>
            </w:r>
            <w:r w:rsidRPr="00417EAB">
              <w:rPr>
                <w:rFonts w:ascii="TimesNewRomanPSMT" w:hAnsi="TimesNewRomanPSMT" w:cs="TimesNewRomanPSMT"/>
                <w:sz w:val="18"/>
                <w:szCs w:val="18"/>
              </w:rPr>
              <w:t>4(b</w:t>
            </w:r>
            <w:r w:rsidR="009141CC" w:rsidRPr="00417EAB">
              <w:rPr>
                <w:rFonts w:ascii="TimesNewRomanPSMT" w:hAnsi="TimesNewRomanPSMT" w:cs="TimesNewRomanPSMT"/>
                <w:sz w:val="18"/>
                <w:szCs w:val="18"/>
              </w:rPr>
              <w:t>)2</w:t>
            </w:r>
            <w:r w:rsidRPr="00417EAB">
              <w:rPr>
                <w:rFonts w:ascii="TimesNewRomanPSMT" w:hAnsi="TimesNewRomanPSMT" w:cs="TimesNewRomanPSMT"/>
                <w:sz w:val="18"/>
                <w:szCs w:val="18"/>
              </w:rPr>
              <w:t>: Outdoor pools or spas that have a heat pump or gas heater shall have a cover.</w:t>
            </w:r>
          </w:p>
        </w:tc>
      </w:tr>
      <w:tr w:rsidR="008A2F63" w:rsidRPr="00417EAB" w14:paraId="2F732817" w14:textId="77777777" w:rsidTr="00B93A4A">
        <w:tc>
          <w:tcPr>
            <w:tcW w:w="10278" w:type="dxa"/>
          </w:tcPr>
          <w:p w14:paraId="6350D7C9" w14:textId="77777777" w:rsidR="008A2F63" w:rsidRPr="00417EAB" w:rsidRDefault="008A2F63" w:rsidP="00462926">
            <w:pPr>
              <w:autoSpaceDE w:val="0"/>
              <w:autoSpaceDN w:val="0"/>
              <w:adjustRightInd w:val="0"/>
              <w:ind w:left="1170" w:hanging="1170"/>
              <w:rPr>
                <w:rFonts w:ascii="TimesNewRomanPSMT" w:hAnsi="TimesNewRomanPSMT" w:cs="TimesNewRomanPSMT"/>
                <w:sz w:val="18"/>
                <w:szCs w:val="18"/>
              </w:rPr>
            </w:pPr>
            <w:r w:rsidRPr="00417EAB">
              <w:rPr>
                <w:rFonts w:ascii="TimesNewRomanPSMT" w:hAnsi="TimesNewRomanPSMT" w:cs="TimesNewRomanPSMT"/>
                <w:sz w:val="18"/>
                <w:szCs w:val="18"/>
              </w:rPr>
              <w:t>§11</w:t>
            </w:r>
            <w:r w:rsidR="008D2F94" w:rsidRPr="00417EAB">
              <w:rPr>
                <w:rFonts w:ascii="TimesNewRomanPSMT" w:hAnsi="TimesNewRomanPSMT" w:cs="TimesNewRomanPSMT"/>
                <w:sz w:val="18"/>
                <w:szCs w:val="18"/>
              </w:rPr>
              <w:t>0.</w:t>
            </w:r>
            <w:r w:rsidRPr="00417EAB">
              <w:rPr>
                <w:rFonts w:ascii="TimesNewRomanPSMT" w:hAnsi="TimesNewRomanPSMT" w:cs="TimesNewRomanPSMT"/>
                <w:sz w:val="18"/>
                <w:szCs w:val="18"/>
              </w:rPr>
              <w:t>4(b)3: Pools shall have directional inlets that adequately mix the pool water, and a time switch that will allow all pumps to be set or programmed to run only during off-peak electric demand periods.</w:t>
            </w:r>
          </w:p>
        </w:tc>
      </w:tr>
      <w:tr w:rsidR="00B828E6" w:rsidRPr="00417EAB" w14:paraId="78403F16" w14:textId="77777777" w:rsidTr="00B93A4A">
        <w:tc>
          <w:tcPr>
            <w:tcW w:w="10278" w:type="dxa"/>
          </w:tcPr>
          <w:p w14:paraId="6FD5CDAC" w14:textId="77777777" w:rsidR="00B828E6" w:rsidRPr="00417EAB" w:rsidRDefault="00B828E6" w:rsidP="00462926">
            <w:pPr>
              <w:autoSpaceDE w:val="0"/>
              <w:autoSpaceDN w:val="0"/>
              <w:adjustRightInd w:val="0"/>
              <w:ind w:left="1170" w:hanging="1170"/>
              <w:rPr>
                <w:rFonts w:ascii="TimesNewRomanPSMT" w:hAnsi="TimesNewRomanPSMT" w:cs="TimesNewRomanPSMT"/>
                <w:sz w:val="18"/>
                <w:szCs w:val="18"/>
              </w:rPr>
            </w:pPr>
            <w:r w:rsidRPr="00417EAB">
              <w:rPr>
                <w:rFonts w:ascii="TimesNewRomanPSMT" w:hAnsi="TimesNewRomanPSMT" w:cs="TimesNewRomanPSMT"/>
                <w:sz w:val="18"/>
                <w:szCs w:val="18"/>
              </w:rPr>
              <w:t>§110.5:     Natural gas pool and spa heaters must not have a continuously burning pilot light.</w:t>
            </w:r>
          </w:p>
        </w:tc>
      </w:tr>
      <w:tr w:rsidR="008A2F63" w14:paraId="3ED22644" w14:textId="77777777" w:rsidTr="00B93A4A">
        <w:tc>
          <w:tcPr>
            <w:tcW w:w="10278" w:type="dxa"/>
          </w:tcPr>
          <w:p w14:paraId="53C115B8" w14:textId="77777777" w:rsidR="008A2F63" w:rsidRPr="00417EAB" w:rsidRDefault="008A2F63" w:rsidP="00462926">
            <w:pPr>
              <w:autoSpaceDE w:val="0"/>
              <w:autoSpaceDN w:val="0"/>
              <w:adjustRightInd w:val="0"/>
              <w:ind w:left="1170" w:hanging="1170"/>
              <w:rPr>
                <w:rFonts w:ascii="TimesNewRomanPSMT" w:hAnsi="TimesNewRomanPSMT" w:cs="TimesNewRomanPSMT"/>
                <w:sz w:val="18"/>
                <w:szCs w:val="18"/>
              </w:rPr>
            </w:pPr>
            <w:r w:rsidRPr="00417EAB">
              <w:rPr>
                <w:rFonts w:ascii="TimesNewRomanPSMT" w:hAnsi="TimesNewRomanPSMT" w:cs="TimesNewRomanPSMT"/>
                <w:sz w:val="18"/>
                <w:szCs w:val="18"/>
              </w:rPr>
              <w:t>§150</w:t>
            </w:r>
            <w:r w:rsidR="00621261" w:rsidRPr="00417EAB">
              <w:rPr>
                <w:rFonts w:ascii="TimesNewRomanPSMT" w:hAnsi="TimesNewRomanPSMT" w:cs="TimesNewRomanPSMT"/>
                <w:sz w:val="18"/>
                <w:szCs w:val="18"/>
              </w:rPr>
              <w:t>.0</w:t>
            </w:r>
            <w:r w:rsidRPr="00417EAB">
              <w:rPr>
                <w:rFonts w:ascii="TimesNewRomanPSMT" w:hAnsi="TimesNewRomanPSMT" w:cs="TimesNewRomanPSMT"/>
                <w:sz w:val="18"/>
                <w:szCs w:val="18"/>
              </w:rPr>
              <w:t>(p):</w:t>
            </w:r>
            <w:r w:rsidR="00462926" w:rsidRPr="00417EAB">
              <w:rPr>
                <w:rFonts w:ascii="TimesNewRomanPSMT" w:hAnsi="TimesNewRomanPSMT" w:cs="TimesNewRomanPSMT"/>
                <w:sz w:val="18"/>
                <w:szCs w:val="18"/>
              </w:rPr>
              <w:t xml:space="preserve">  </w:t>
            </w:r>
            <w:r w:rsidRPr="00417EAB">
              <w:rPr>
                <w:rFonts w:ascii="TimesNewRomanPSMT" w:hAnsi="TimesNewRomanPSMT" w:cs="TimesNewRomanPSMT"/>
                <w:sz w:val="18"/>
                <w:szCs w:val="18"/>
              </w:rPr>
              <w:t xml:space="preserve">Residential pool systems or equipment meet the pump sizing, flow rate, </w:t>
            </w:r>
            <w:r w:rsidR="00621261" w:rsidRPr="00417EAB">
              <w:rPr>
                <w:rFonts w:ascii="TimesNewRomanPSMT" w:hAnsi="TimesNewRomanPSMT" w:cs="TimesNewRomanPSMT"/>
                <w:sz w:val="18"/>
                <w:szCs w:val="18"/>
              </w:rPr>
              <w:t xml:space="preserve">system </w:t>
            </w:r>
            <w:r w:rsidRPr="00417EAB">
              <w:rPr>
                <w:rFonts w:ascii="TimesNewRomanPSMT" w:hAnsi="TimesNewRomanPSMT" w:cs="TimesNewRomanPSMT"/>
                <w:sz w:val="18"/>
                <w:szCs w:val="18"/>
              </w:rPr>
              <w:t xml:space="preserve">piping, filters, and valve </w:t>
            </w:r>
            <w:r w:rsidR="003958ED" w:rsidRPr="00417EAB">
              <w:rPr>
                <w:rFonts w:ascii="TimesNewRomanPSMT" w:hAnsi="TimesNewRomanPSMT" w:cs="TimesNewRomanPSMT"/>
                <w:sz w:val="18"/>
                <w:szCs w:val="18"/>
              </w:rPr>
              <w:t>r</w:t>
            </w:r>
            <w:r w:rsidRPr="00417EAB">
              <w:rPr>
                <w:rFonts w:ascii="TimesNewRomanPSMT" w:hAnsi="TimesNewRomanPSMT" w:cs="TimesNewRomanPSMT"/>
                <w:sz w:val="18"/>
                <w:szCs w:val="18"/>
              </w:rPr>
              <w:t>equirements</w:t>
            </w:r>
            <w:r w:rsidR="00BC00E2" w:rsidRPr="00417EAB">
              <w:rPr>
                <w:rFonts w:ascii="TimesNewRomanPSMT" w:hAnsi="TimesNewRomanPSMT" w:cs="TimesNewRomanPSMT"/>
                <w:sz w:val="18"/>
                <w:szCs w:val="18"/>
              </w:rPr>
              <w:t>:</w:t>
            </w:r>
          </w:p>
          <w:p w14:paraId="316B0EE2" w14:textId="77777777" w:rsidR="002830F8" w:rsidRPr="00417EAB" w:rsidRDefault="002830F8" w:rsidP="00462926">
            <w:pPr>
              <w:pStyle w:val="ListParagraph"/>
              <w:numPr>
                <w:ilvl w:val="0"/>
                <w:numId w:val="1"/>
              </w:numPr>
              <w:autoSpaceDE w:val="0"/>
              <w:autoSpaceDN w:val="0"/>
              <w:adjustRightInd w:val="0"/>
              <w:ind w:firstLine="450"/>
              <w:rPr>
                <w:rFonts w:ascii="TimesNewRomanPS-BoldMT" w:hAnsi="TimesNewRomanPS-BoldMT" w:cs="TimesNewRomanPS-BoldMT"/>
                <w:b/>
                <w:bCs/>
                <w:sz w:val="20"/>
                <w:szCs w:val="20"/>
              </w:rPr>
            </w:pPr>
            <w:r w:rsidRPr="00417EAB">
              <w:rPr>
                <w:rFonts w:ascii="TimesNewRomanPS-BoldMT" w:hAnsi="TimesNewRomanPS-BoldMT" w:cs="TimesNewRomanPS-BoldMT"/>
                <w:b/>
                <w:bCs/>
                <w:sz w:val="20"/>
                <w:szCs w:val="20"/>
              </w:rPr>
              <w:t>Pump sizing and flow rate.</w:t>
            </w:r>
          </w:p>
          <w:p w14:paraId="7326C22D" w14:textId="77777777" w:rsidR="002830F8" w:rsidRPr="00417EAB" w:rsidRDefault="002830F8" w:rsidP="00341FDB">
            <w:pPr>
              <w:pStyle w:val="ListParagraph"/>
              <w:numPr>
                <w:ilvl w:val="1"/>
                <w:numId w:val="1"/>
              </w:numPr>
              <w:autoSpaceDE w:val="0"/>
              <w:autoSpaceDN w:val="0"/>
              <w:adjustRightInd w:val="0"/>
              <w:ind w:left="1890" w:hanging="450"/>
              <w:rPr>
                <w:rFonts w:ascii="TimesNewRomanPSMT" w:hAnsi="TimesNewRomanPSMT" w:cs="TimesNewRomanPSMT"/>
                <w:sz w:val="20"/>
                <w:szCs w:val="20"/>
              </w:rPr>
            </w:pPr>
            <w:r w:rsidRPr="00417EAB">
              <w:rPr>
                <w:rFonts w:ascii="TimesNewRomanPSMT" w:hAnsi="TimesNewRomanPSMT" w:cs="TimesNewRomanPSMT"/>
                <w:sz w:val="20"/>
                <w:szCs w:val="20"/>
              </w:rPr>
              <w:t>All pumps and pump motors installed shall be listed in the Commission’s directory of certified equipment and shall comply with the Appliance Efficiency Regulations.</w:t>
            </w:r>
          </w:p>
          <w:p w14:paraId="30F41C87" w14:textId="77777777" w:rsidR="002830F8" w:rsidRPr="00417EAB" w:rsidRDefault="00697514" w:rsidP="00697514">
            <w:pPr>
              <w:pStyle w:val="ListParagraph"/>
              <w:numPr>
                <w:ilvl w:val="1"/>
                <w:numId w:val="1"/>
              </w:numPr>
              <w:autoSpaceDE w:val="0"/>
              <w:autoSpaceDN w:val="0"/>
              <w:adjustRightInd w:val="0"/>
              <w:ind w:left="1890" w:hanging="450"/>
              <w:rPr>
                <w:rFonts w:ascii="TimesNewRomanPSMT" w:hAnsi="TimesNewRomanPSMT" w:cs="TimesNewRomanPSMT"/>
                <w:sz w:val="20"/>
                <w:szCs w:val="20"/>
              </w:rPr>
            </w:pPr>
            <w:r w:rsidRPr="00417EAB">
              <w:rPr>
                <w:rFonts w:ascii="TimesNewRomanPSMT" w:hAnsi="TimesNewRomanPSMT" w:cs="TimesNewRomanPSMT"/>
                <w:sz w:val="20"/>
                <w:szCs w:val="20"/>
              </w:rPr>
              <w:t>A</w:t>
            </w:r>
            <w:r w:rsidR="002830F8" w:rsidRPr="00417EAB">
              <w:rPr>
                <w:rFonts w:ascii="TimesNewRomanPSMT" w:hAnsi="TimesNewRomanPSMT" w:cs="TimesNewRomanPSMT"/>
                <w:sz w:val="20"/>
                <w:szCs w:val="20"/>
              </w:rPr>
              <w:t>ll pump flow rates shall be calculated using the following system equation:</w:t>
            </w:r>
          </w:p>
          <w:p w14:paraId="1FF73B57" w14:textId="77777777" w:rsidR="002830F8" w:rsidRPr="00417EAB" w:rsidRDefault="00BC00E2" w:rsidP="00462926">
            <w:pPr>
              <w:pStyle w:val="ListParagraph"/>
              <w:autoSpaceDE w:val="0"/>
              <w:autoSpaceDN w:val="0"/>
              <w:adjustRightInd w:val="0"/>
              <w:ind w:left="3330" w:hanging="450"/>
              <w:rPr>
                <w:rFonts w:ascii="TimesNewRomanPSMT" w:hAnsi="TimesNewRomanPSMT" w:cs="TimesNewRomanPSMT"/>
                <w:sz w:val="13"/>
                <w:szCs w:val="13"/>
              </w:rPr>
            </w:pPr>
            <w:r w:rsidRPr="00417EAB">
              <w:rPr>
                <w:rFonts w:ascii="TimesNewRomanPSMT" w:hAnsi="TimesNewRomanPSMT" w:cs="TimesNewRomanPSMT"/>
                <w:sz w:val="20"/>
                <w:szCs w:val="20"/>
              </w:rPr>
              <w:t xml:space="preserve">        </w:t>
            </w:r>
            <w:r w:rsidR="00584A98" w:rsidRPr="00417EAB">
              <w:rPr>
                <w:rFonts w:ascii="TimesNewRomanPSMT" w:hAnsi="TimesNewRomanPSMT" w:cs="TimesNewRomanPSMT"/>
                <w:sz w:val="20"/>
                <w:szCs w:val="20"/>
              </w:rPr>
              <w:t xml:space="preserve">     </w:t>
            </w:r>
            <w:r w:rsidR="002830F8" w:rsidRPr="00417EAB">
              <w:rPr>
                <w:rFonts w:ascii="TimesNewRomanPSMT" w:hAnsi="TimesNewRomanPSMT" w:cs="TimesNewRomanPSMT"/>
                <w:sz w:val="20"/>
                <w:szCs w:val="20"/>
              </w:rPr>
              <w:t>H = C X F</w:t>
            </w:r>
            <w:r w:rsidR="008D2F94" w:rsidRPr="00417EAB">
              <w:rPr>
                <w:rFonts w:ascii="TimesNewRomanPSMT" w:hAnsi="TimesNewRomanPSMT" w:cs="TimesNewRomanPSMT"/>
                <w:sz w:val="20"/>
                <w:szCs w:val="20"/>
                <w:vertAlign w:val="superscript"/>
              </w:rPr>
              <w:t>2</w:t>
            </w:r>
          </w:p>
          <w:p w14:paraId="6AAC3957" w14:textId="77777777" w:rsidR="002830F8" w:rsidRPr="00417EAB" w:rsidRDefault="00697514" w:rsidP="00697514">
            <w:pPr>
              <w:autoSpaceDE w:val="0"/>
              <w:autoSpaceDN w:val="0"/>
              <w:adjustRightInd w:val="0"/>
              <w:ind w:left="1890" w:hanging="450"/>
              <w:rPr>
                <w:rFonts w:ascii="TimesNewRomanPSMT" w:hAnsi="TimesNewRomanPSMT" w:cs="TimesNewRomanPSMT"/>
                <w:sz w:val="20"/>
                <w:szCs w:val="20"/>
              </w:rPr>
            </w:pPr>
            <w:r w:rsidRPr="00417EAB">
              <w:rPr>
                <w:rFonts w:ascii="TimesNewRomanPSMT" w:hAnsi="TimesNewRomanPSMT" w:cs="TimesNewRomanPSMT"/>
                <w:sz w:val="20"/>
                <w:szCs w:val="20"/>
              </w:rPr>
              <w:t xml:space="preserve">     </w:t>
            </w:r>
            <w:r w:rsidR="002830F8" w:rsidRPr="00417EAB">
              <w:rPr>
                <w:rFonts w:ascii="TimesNewRomanPSMT" w:hAnsi="TimesNewRomanPSMT" w:cs="TimesNewRomanPSMT"/>
                <w:sz w:val="20"/>
                <w:szCs w:val="20"/>
              </w:rPr>
              <w:t>Where:</w:t>
            </w:r>
            <w:r w:rsidR="00621261" w:rsidRPr="00417EAB">
              <w:rPr>
                <w:rFonts w:ascii="TimesNewRomanPSMT" w:hAnsi="TimesNewRomanPSMT" w:cs="TimesNewRomanPSMT"/>
                <w:sz w:val="20"/>
                <w:szCs w:val="20"/>
              </w:rPr>
              <w:t xml:space="preserve">  </w:t>
            </w:r>
            <w:r w:rsidR="002830F8" w:rsidRPr="00417EAB">
              <w:rPr>
                <w:rFonts w:ascii="TimesNewRomanPSMT" w:hAnsi="TimesNewRomanPSMT" w:cs="TimesNewRomanPSMT"/>
                <w:sz w:val="20"/>
                <w:szCs w:val="20"/>
              </w:rPr>
              <w:t>H is the total system head in feet of water.</w:t>
            </w:r>
          </w:p>
          <w:p w14:paraId="6C20BC68" w14:textId="77777777" w:rsidR="002830F8" w:rsidRPr="00417EAB" w:rsidRDefault="002830F8" w:rsidP="00697514">
            <w:pPr>
              <w:pStyle w:val="ListParagraph"/>
              <w:autoSpaceDE w:val="0"/>
              <w:autoSpaceDN w:val="0"/>
              <w:adjustRightInd w:val="0"/>
              <w:ind w:left="2700"/>
              <w:rPr>
                <w:rFonts w:ascii="TimesNewRomanPSMT" w:hAnsi="TimesNewRomanPSMT" w:cs="TimesNewRomanPSMT"/>
                <w:sz w:val="20"/>
                <w:szCs w:val="20"/>
              </w:rPr>
            </w:pPr>
            <w:r w:rsidRPr="00417EAB">
              <w:rPr>
                <w:rFonts w:ascii="TimesNewRomanPSMT" w:hAnsi="TimesNewRomanPSMT" w:cs="TimesNewRomanPSMT"/>
                <w:sz w:val="20"/>
                <w:szCs w:val="20"/>
              </w:rPr>
              <w:t>F is the flow rate in gallons per minute (gpm).</w:t>
            </w:r>
          </w:p>
          <w:p w14:paraId="3EE8E103" w14:textId="77777777" w:rsidR="002830F8" w:rsidRPr="00417EAB" w:rsidRDefault="002830F8" w:rsidP="00697514">
            <w:pPr>
              <w:pStyle w:val="ListParagraph"/>
              <w:autoSpaceDE w:val="0"/>
              <w:autoSpaceDN w:val="0"/>
              <w:adjustRightInd w:val="0"/>
              <w:ind w:left="2700"/>
              <w:rPr>
                <w:rFonts w:ascii="TimesNewRomanPSMT" w:hAnsi="TimesNewRomanPSMT" w:cs="TimesNewRomanPSMT"/>
                <w:sz w:val="20"/>
                <w:szCs w:val="20"/>
              </w:rPr>
            </w:pPr>
            <w:r w:rsidRPr="00417EAB">
              <w:rPr>
                <w:rFonts w:ascii="TimesNewRomanPSMT" w:hAnsi="TimesNewRomanPSMT" w:cs="TimesNewRomanPSMT"/>
                <w:sz w:val="20"/>
                <w:szCs w:val="20"/>
              </w:rPr>
              <w:t>C is a coefficient based on the volume of the pool:</w:t>
            </w:r>
          </w:p>
          <w:p w14:paraId="070CF40E" w14:textId="77777777" w:rsidR="002830F8" w:rsidRPr="00417EAB" w:rsidRDefault="002830F8" w:rsidP="008D2F94">
            <w:pPr>
              <w:pStyle w:val="ListParagraph"/>
              <w:autoSpaceDE w:val="0"/>
              <w:autoSpaceDN w:val="0"/>
              <w:adjustRightInd w:val="0"/>
              <w:ind w:left="3060"/>
              <w:rPr>
                <w:rFonts w:ascii="TimesNewRomanPSMT" w:hAnsi="TimesNewRomanPSMT" w:cs="TimesNewRomanPSMT"/>
                <w:sz w:val="20"/>
                <w:szCs w:val="20"/>
              </w:rPr>
            </w:pPr>
            <w:r w:rsidRPr="00417EAB">
              <w:rPr>
                <w:rFonts w:ascii="TimesNewRomanPSMT" w:hAnsi="TimesNewRomanPSMT" w:cs="TimesNewRomanPSMT"/>
                <w:sz w:val="20"/>
                <w:szCs w:val="20"/>
              </w:rPr>
              <w:t>0.0167 for pools less than or equal to 17,000 gallons.</w:t>
            </w:r>
          </w:p>
          <w:p w14:paraId="16FB66E6" w14:textId="77777777" w:rsidR="002830F8" w:rsidRPr="00417EAB" w:rsidRDefault="002830F8" w:rsidP="008D2F94">
            <w:pPr>
              <w:pStyle w:val="ListParagraph"/>
              <w:autoSpaceDE w:val="0"/>
              <w:autoSpaceDN w:val="0"/>
              <w:adjustRightInd w:val="0"/>
              <w:ind w:left="3060"/>
              <w:rPr>
                <w:rFonts w:ascii="TimesNewRomanPSMT" w:hAnsi="TimesNewRomanPSMT" w:cs="TimesNewRomanPSMT"/>
                <w:sz w:val="20"/>
                <w:szCs w:val="20"/>
              </w:rPr>
            </w:pPr>
            <w:r w:rsidRPr="00417EAB">
              <w:rPr>
                <w:rFonts w:ascii="TimesNewRomanPSMT" w:hAnsi="TimesNewRomanPSMT" w:cs="TimesNewRomanPSMT"/>
                <w:sz w:val="20"/>
                <w:szCs w:val="20"/>
              </w:rPr>
              <w:t>0.0082 for pools greater than 17,000 gallons</w:t>
            </w:r>
            <w:r w:rsidR="008D2F94" w:rsidRPr="00417EAB">
              <w:rPr>
                <w:rFonts w:ascii="TimesNewRomanPSMT" w:hAnsi="TimesNewRomanPSMT" w:cs="TimesNewRomanPSMT"/>
                <w:sz w:val="20"/>
                <w:szCs w:val="20"/>
              </w:rPr>
              <w:t>.</w:t>
            </w:r>
          </w:p>
          <w:p w14:paraId="45A746AB" w14:textId="77777777" w:rsidR="002830F8" w:rsidRPr="00417EAB" w:rsidRDefault="002830F8" w:rsidP="00697514">
            <w:pPr>
              <w:pStyle w:val="ListParagraph"/>
              <w:numPr>
                <w:ilvl w:val="1"/>
                <w:numId w:val="1"/>
              </w:numPr>
              <w:autoSpaceDE w:val="0"/>
              <w:autoSpaceDN w:val="0"/>
              <w:adjustRightInd w:val="0"/>
              <w:ind w:left="1890" w:hanging="450"/>
              <w:rPr>
                <w:rFonts w:ascii="TimesNewRomanPSMT" w:hAnsi="TimesNewRomanPSMT" w:cs="TimesNewRomanPSMT"/>
                <w:sz w:val="20"/>
                <w:szCs w:val="20"/>
              </w:rPr>
            </w:pPr>
            <w:r w:rsidRPr="00417EAB">
              <w:rPr>
                <w:rFonts w:ascii="TimesNewRomanPSMT" w:hAnsi="TimesNewRomanPSMT" w:cs="TimesNewRomanPSMT"/>
                <w:sz w:val="20"/>
                <w:szCs w:val="20"/>
              </w:rPr>
              <w:t>Filtration pumps shall be sized, or if programmable, shall be programmed, so that the filtration flow rate is not greater than the rate needed to turn over the pool water volume in 6 hours or 36 gpm, whichever is greater; and</w:t>
            </w:r>
          </w:p>
          <w:p w14:paraId="637FB2BB" w14:textId="77777777" w:rsidR="00616B5C" w:rsidRDefault="002830F8" w:rsidP="00697514">
            <w:pPr>
              <w:pStyle w:val="ListParagraph"/>
              <w:numPr>
                <w:ilvl w:val="1"/>
                <w:numId w:val="1"/>
              </w:numPr>
              <w:autoSpaceDE w:val="0"/>
              <w:autoSpaceDN w:val="0"/>
              <w:adjustRightInd w:val="0"/>
              <w:ind w:left="1890" w:hanging="450"/>
              <w:rPr>
                <w:rFonts w:ascii="TimesNewRomanPSMT" w:hAnsi="TimesNewRomanPSMT" w:cs="TimesNewRomanPSMT"/>
                <w:sz w:val="20"/>
                <w:szCs w:val="20"/>
              </w:rPr>
            </w:pPr>
            <w:r w:rsidRPr="00616B5C">
              <w:rPr>
                <w:rFonts w:ascii="TimesNewRomanPSMT" w:hAnsi="TimesNewRomanPSMT" w:cs="TimesNewRomanPSMT"/>
                <w:sz w:val="20"/>
                <w:szCs w:val="20"/>
              </w:rPr>
              <w:t xml:space="preserve">Pump motors used for filtration </w:t>
            </w:r>
            <w:r w:rsidR="00616B5C" w:rsidRPr="00616B5C">
              <w:rPr>
                <w:rFonts w:ascii="TimesNewRomanPSMT" w:hAnsi="TimesNewRomanPSMT" w:cs="TimesNewRomanPSMT"/>
                <w:sz w:val="20"/>
                <w:szCs w:val="20"/>
              </w:rPr>
              <w:t xml:space="preserve">shall meet the applicable federal standards in 10 CFR 431.465, and </w:t>
            </w:r>
          </w:p>
          <w:p w14:paraId="16428442" w14:textId="11076378" w:rsidR="002830F8" w:rsidRPr="00616B5C" w:rsidRDefault="002830F8" w:rsidP="00697514">
            <w:pPr>
              <w:pStyle w:val="ListParagraph"/>
              <w:numPr>
                <w:ilvl w:val="1"/>
                <w:numId w:val="1"/>
              </w:numPr>
              <w:autoSpaceDE w:val="0"/>
              <w:autoSpaceDN w:val="0"/>
              <w:adjustRightInd w:val="0"/>
              <w:ind w:left="1890" w:hanging="450"/>
              <w:rPr>
                <w:rFonts w:ascii="TimesNewRomanPSMT" w:hAnsi="TimesNewRomanPSMT" w:cs="TimesNewRomanPSMT"/>
                <w:sz w:val="20"/>
                <w:szCs w:val="20"/>
              </w:rPr>
            </w:pPr>
            <w:r w:rsidRPr="00616B5C">
              <w:rPr>
                <w:rFonts w:ascii="TimesNewRomanPSMT" w:hAnsi="TimesNewRomanPSMT" w:cs="TimesNewRomanPSMT"/>
                <w:sz w:val="20"/>
                <w:szCs w:val="20"/>
              </w:rPr>
              <w:t>Each auxiliary pool load shall be served by either separate pumps or the system shall be served by a multi-speed pump; and</w:t>
            </w:r>
          </w:p>
          <w:p w14:paraId="10D89DAA" w14:textId="77777777" w:rsidR="002830F8" w:rsidRPr="00417EAB" w:rsidRDefault="00697514" w:rsidP="00697514">
            <w:pPr>
              <w:pStyle w:val="ListParagraph"/>
              <w:autoSpaceDE w:val="0"/>
              <w:autoSpaceDN w:val="0"/>
              <w:adjustRightInd w:val="0"/>
              <w:ind w:left="1890" w:hanging="450"/>
              <w:rPr>
                <w:rFonts w:ascii="TimesNewRomanPSMT" w:hAnsi="TimesNewRomanPSMT" w:cs="TimesNewRomanPSMT"/>
                <w:sz w:val="20"/>
                <w:szCs w:val="20"/>
              </w:rPr>
            </w:pPr>
            <w:r w:rsidRPr="00417EAB">
              <w:rPr>
                <w:rFonts w:ascii="TimesNewRomanPS-BoldMT" w:hAnsi="TimesNewRomanPS-BoldMT" w:cs="TimesNewRomanPS-BoldMT"/>
                <w:b/>
                <w:bCs/>
                <w:sz w:val="20"/>
                <w:szCs w:val="20"/>
              </w:rPr>
              <w:t xml:space="preserve">         </w:t>
            </w:r>
            <w:r w:rsidR="000750C2" w:rsidRPr="00417EAB">
              <w:rPr>
                <w:rFonts w:ascii="TimesNewRomanPS-BoldMT" w:hAnsi="TimesNewRomanPS-BoldMT" w:cs="TimesNewRomanPS-BoldMT"/>
                <w:b/>
                <w:bCs/>
                <w:sz w:val="20"/>
                <w:szCs w:val="20"/>
              </w:rPr>
              <w:t>EXCEPTION to Section 150(p)1e</w:t>
            </w:r>
            <w:r w:rsidR="002830F8" w:rsidRPr="00417EAB">
              <w:rPr>
                <w:rFonts w:ascii="TimesNewRomanPS-BoldMT" w:hAnsi="TimesNewRomanPS-BoldMT" w:cs="TimesNewRomanPS-BoldMT"/>
                <w:b/>
                <w:bCs/>
                <w:sz w:val="20"/>
                <w:szCs w:val="20"/>
              </w:rPr>
              <w:t xml:space="preserve">: </w:t>
            </w:r>
            <w:r w:rsidR="002830F8" w:rsidRPr="00417EAB">
              <w:rPr>
                <w:rFonts w:ascii="TimesNewRomanPSMT" w:hAnsi="TimesNewRomanPSMT" w:cs="TimesNewRomanPSMT"/>
                <w:sz w:val="20"/>
                <w:szCs w:val="20"/>
              </w:rPr>
              <w:t>Pumps if less than 1 hp may be single speed.</w:t>
            </w:r>
          </w:p>
          <w:p w14:paraId="61253362" w14:textId="77777777" w:rsidR="002830F8" w:rsidRPr="00417EAB" w:rsidRDefault="002830F8" w:rsidP="00697514">
            <w:pPr>
              <w:pStyle w:val="ListParagraph"/>
              <w:numPr>
                <w:ilvl w:val="1"/>
                <w:numId w:val="1"/>
              </w:numPr>
              <w:autoSpaceDE w:val="0"/>
              <w:autoSpaceDN w:val="0"/>
              <w:adjustRightInd w:val="0"/>
              <w:ind w:left="1890" w:hanging="450"/>
              <w:rPr>
                <w:rFonts w:ascii="TimesNewRomanPSMT" w:hAnsi="TimesNewRomanPSMT" w:cs="TimesNewRomanPSMT"/>
                <w:sz w:val="20"/>
                <w:szCs w:val="20"/>
              </w:rPr>
            </w:pPr>
            <w:r w:rsidRPr="00417EAB">
              <w:rPr>
                <w:rFonts w:ascii="TimesNewRomanPSMT" w:hAnsi="TimesNewRomanPSMT" w:cs="TimesNewRomanPSMT"/>
                <w:sz w:val="20"/>
                <w:szCs w:val="20"/>
              </w:rPr>
              <w:t xml:space="preserve">Multi-speed pumps shall have controls which default to the filtration flow rate </w:t>
            </w:r>
            <w:r w:rsidR="00341FDB" w:rsidRPr="00417EAB">
              <w:rPr>
                <w:rFonts w:ascii="TimesNewRomanPSMT" w:hAnsi="TimesNewRomanPSMT" w:cs="TimesNewRomanPSMT"/>
                <w:sz w:val="20"/>
                <w:szCs w:val="20"/>
              </w:rPr>
              <w:t xml:space="preserve">  </w:t>
            </w:r>
            <w:r w:rsidRPr="00417EAB">
              <w:rPr>
                <w:rFonts w:ascii="TimesNewRomanPSMT" w:hAnsi="TimesNewRomanPSMT" w:cs="TimesNewRomanPSMT"/>
                <w:sz w:val="20"/>
                <w:szCs w:val="20"/>
              </w:rPr>
              <w:t>when no auxiliary pool loads are operating; and</w:t>
            </w:r>
          </w:p>
          <w:p w14:paraId="6B313261" w14:textId="77777777" w:rsidR="002830F8" w:rsidRPr="00417EAB" w:rsidRDefault="002830F8" w:rsidP="00697514">
            <w:pPr>
              <w:pStyle w:val="ListParagraph"/>
              <w:numPr>
                <w:ilvl w:val="1"/>
                <w:numId w:val="1"/>
              </w:numPr>
              <w:autoSpaceDE w:val="0"/>
              <w:autoSpaceDN w:val="0"/>
              <w:adjustRightInd w:val="0"/>
              <w:ind w:left="1890" w:hanging="450"/>
              <w:rPr>
                <w:rFonts w:ascii="TimesNewRomanPSMT" w:hAnsi="TimesNewRomanPSMT" w:cs="TimesNewRomanPSMT"/>
                <w:sz w:val="20"/>
                <w:szCs w:val="20"/>
              </w:rPr>
            </w:pPr>
            <w:r w:rsidRPr="00417EAB">
              <w:rPr>
                <w:rFonts w:ascii="TimesNewRomanPSMT" w:hAnsi="TimesNewRomanPSMT" w:cs="TimesNewRomanPSMT"/>
                <w:sz w:val="20"/>
                <w:szCs w:val="20"/>
              </w:rPr>
              <w:t>For multi-speed pumps, the controls shall default to the filtration flow rate setting within 24 hours and shall have an override capability for servicing.</w:t>
            </w:r>
          </w:p>
          <w:p w14:paraId="5966B623" w14:textId="77777777" w:rsidR="002830F8" w:rsidRPr="00417EAB" w:rsidRDefault="002830F8" w:rsidP="00462926">
            <w:pPr>
              <w:pStyle w:val="ListParagraph"/>
              <w:numPr>
                <w:ilvl w:val="0"/>
                <w:numId w:val="1"/>
              </w:numPr>
              <w:autoSpaceDE w:val="0"/>
              <w:autoSpaceDN w:val="0"/>
              <w:adjustRightInd w:val="0"/>
              <w:ind w:firstLine="450"/>
              <w:rPr>
                <w:rFonts w:ascii="TimesNewRomanPS-BoldMT" w:hAnsi="TimesNewRomanPS-BoldMT" w:cs="TimesNewRomanPS-BoldMT"/>
                <w:b/>
                <w:bCs/>
                <w:sz w:val="20"/>
                <w:szCs w:val="20"/>
              </w:rPr>
            </w:pPr>
            <w:r w:rsidRPr="00417EAB">
              <w:rPr>
                <w:rFonts w:ascii="TimesNewRomanPS-BoldMT" w:hAnsi="TimesNewRomanPS-BoldMT" w:cs="TimesNewRomanPS-BoldMT"/>
                <w:b/>
                <w:bCs/>
                <w:sz w:val="20"/>
                <w:szCs w:val="20"/>
              </w:rPr>
              <w:t>System piping.</w:t>
            </w:r>
          </w:p>
          <w:p w14:paraId="54664324" w14:textId="77777777" w:rsidR="002830F8" w:rsidRPr="00417EAB" w:rsidRDefault="002830F8" w:rsidP="00341FDB">
            <w:pPr>
              <w:pStyle w:val="ListParagraph"/>
              <w:numPr>
                <w:ilvl w:val="1"/>
                <w:numId w:val="1"/>
              </w:numPr>
              <w:autoSpaceDE w:val="0"/>
              <w:autoSpaceDN w:val="0"/>
              <w:adjustRightInd w:val="0"/>
              <w:ind w:left="1800"/>
              <w:rPr>
                <w:rFonts w:ascii="TimesNewRomanPSMT" w:hAnsi="TimesNewRomanPSMT" w:cs="TimesNewRomanPSMT"/>
                <w:sz w:val="20"/>
                <w:szCs w:val="20"/>
              </w:rPr>
            </w:pPr>
            <w:r w:rsidRPr="00417EAB">
              <w:rPr>
                <w:rFonts w:ascii="TimesNewRomanPSMT" w:hAnsi="TimesNewRomanPSMT" w:cs="TimesNewRomanPSMT"/>
                <w:sz w:val="20"/>
                <w:szCs w:val="20"/>
              </w:rPr>
              <w:t>A length of straight pipe that is greater than or equal to at least 4 pipe diameters shall be installed before the pump; and</w:t>
            </w:r>
          </w:p>
          <w:p w14:paraId="722AA187" w14:textId="77777777" w:rsidR="002830F8" w:rsidRPr="00417EAB" w:rsidRDefault="002830F8" w:rsidP="00341FDB">
            <w:pPr>
              <w:pStyle w:val="ListParagraph"/>
              <w:numPr>
                <w:ilvl w:val="1"/>
                <w:numId w:val="1"/>
              </w:numPr>
              <w:autoSpaceDE w:val="0"/>
              <w:autoSpaceDN w:val="0"/>
              <w:adjustRightInd w:val="0"/>
              <w:ind w:left="1800"/>
              <w:rPr>
                <w:rFonts w:ascii="TimesNewRomanPSMT" w:hAnsi="TimesNewRomanPSMT" w:cs="TimesNewRomanPSMT"/>
                <w:sz w:val="20"/>
                <w:szCs w:val="20"/>
              </w:rPr>
            </w:pPr>
            <w:r w:rsidRPr="00417EAB">
              <w:rPr>
                <w:rFonts w:ascii="TimesNewRomanPSMT" w:hAnsi="TimesNewRomanPSMT" w:cs="TimesNewRomanPSMT"/>
                <w:sz w:val="20"/>
                <w:szCs w:val="20"/>
              </w:rPr>
              <w:t>Pool piping shall be sized so that the velocity of the water at maximum flow for auxiliary pool loads does not exceed 8 feet per second in the return line and 6 feet per second in the suction line; and</w:t>
            </w:r>
          </w:p>
          <w:p w14:paraId="6883B5FF" w14:textId="77777777" w:rsidR="002830F8" w:rsidRPr="00417EAB" w:rsidRDefault="002830F8" w:rsidP="00341FDB">
            <w:pPr>
              <w:pStyle w:val="ListParagraph"/>
              <w:numPr>
                <w:ilvl w:val="1"/>
                <w:numId w:val="1"/>
              </w:numPr>
              <w:autoSpaceDE w:val="0"/>
              <w:autoSpaceDN w:val="0"/>
              <w:adjustRightInd w:val="0"/>
              <w:ind w:left="1800"/>
              <w:rPr>
                <w:rFonts w:ascii="TimesNewRomanPSMT" w:hAnsi="TimesNewRomanPSMT" w:cs="TimesNewRomanPSMT"/>
                <w:sz w:val="20"/>
                <w:szCs w:val="20"/>
              </w:rPr>
            </w:pPr>
            <w:r w:rsidRPr="00417EAB">
              <w:rPr>
                <w:rFonts w:ascii="TimesNewRomanPSMT" w:hAnsi="TimesNewRomanPSMT" w:cs="TimesNewRomanPSMT"/>
                <w:sz w:val="20"/>
                <w:szCs w:val="20"/>
              </w:rPr>
              <w:t>All elbows shall be sweep elbows or elbow-type that have a pressure drop of less than the pressure drop of straight pipe with a length of 30 pipe diameters.</w:t>
            </w:r>
          </w:p>
          <w:p w14:paraId="1FE9DE84" w14:textId="77777777" w:rsidR="002830F8" w:rsidRPr="00417EAB" w:rsidRDefault="002830F8" w:rsidP="00462926">
            <w:pPr>
              <w:pStyle w:val="ListParagraph"/>
              <w:numPr>
                <w:ilvl w:val="0"/>
                <w:numId w:val="1"/>
              </w:numPr>
              <w:autoSpaceDE w:val="0"/>
              <w:autoSpaceDN w:val="0"/>
              <w:adjustRightInd w:val="0"/>
              <w:ind w:left="1440" w:hanging="270"/>
              <w:rPr>
                <w:rFonts w:ascii="TimesNewRomanPSMT" w:hAnsi="TimesNewRomanPSMT" w:cs="TimesNewRomanPSMT"/>
                <w:sz w:val="20"/>
                <w:szCs w:val="20"/>
              </w:rPr>
            </w:pPr>
            <w:r w:rsidRPr="00417EAB">
              <w:rPr>
                <w:rFonts w:ascii="TimesNewRomanPS-BoldMT" w:hAnsi="TimesNewRomanPS-BoldMT" w:cs="TimesNewRomanPS-BoldMT"/>
                <w:b/>
                <w:bCs/>
                <w:sz w:val="20"/>
                <w:szCs w:val="20"/>
              </w:rPr>
              <w:t xml:space="preserve">Filters. </w:t>
            </w:r>
            <w:r w:rsidRPr="00417EAB">
              <w:rPr>
                <w:rFonts w:ascii="TimesNewRomanPSMT" w:hAnsi="TimesNewRomanPSMT" w:cs="TimesNewRomanPSMT"/>
                <w:sz w:val="20"/>
                <w:szCs w:val="20"/>
              </w:rPr>
              <w:t>Filters shall be at least the size specified in NSF/ANSI 50 for public pool intended applications.</w:t>
            </w:r>
          </w:p>
          <w:p w14:paraId="6A0A307D" w14:textId="77777777" w:rsidR="000750C2" w:rsidRPr="00417EAB" w:rsidRDefault="002830F8" w:rsidP="00935C76">
            <w:pPr>
              <w:pStyle w:val="ListParagraph"/>
              <w:numPr>
                <w:ilvl w:val="0"/>
                <w:numId w:val="1"/>
              </w:numPr>
              <w:autoSpaceDE w:val="0"/>
              <w:autoSpaceDN w:val="0"/>
              <w:adjustRightInd w:val="0"/>
              <w:ind w:left="1440" w:hanging="270"/>
              <w:rPr>
                <w:rFonts w:ascii="TimesNewRomanPSMT" w:hAnsi="TimesNewRomanPSMT" w:cs="TimesNewRomanPSMT"/>
                <w:sz w:val="18"/>
                <w:szCs w:val="18"/>
              </w:rPr>
            </w:pPr>
            <w:r w:rsidRPr="00417EAB">
              <w:rPr>
                <w:rFonts w:ascii="TimesNewRomanPS-BoldMT" w:hAnsi="TimesNewRomanPS-BoldMT" w:cs="TimesNewRomanPS-BoldMT"/>
                <w:b/>
                <w:bCs/>
                <w:sz w:val="20"/>
                <w:szCs w:val="20"/>
              </w:rPr>
              <w:t xml:space="preserve">Valves. </w:t>
            </w:r>
            <w:r w:rsidRPr="00417EAB">
              <w:rPr>
                <w:rFonts w:ascii="TimesNewRomanPSMT" w:hAnsi="TimesNewRomanPSMT" w:cs="TimesNewRomanPSMT"/>
                <w:sz w:val="20"/>
                <w:szCs w:val="20"/>
              </w:rPr>
              <w:t>Minimum diameter of backwash valves shall be 2 inches or the diameter of the return pipe, whichever is greater.</w:t>
            </w:r>
          </w:p>
          <w:p w14:paraId="23F310A4" w14:textId="77777777" w:rsidR="00935C76" w:rsidRPr="00935C76" w:rsidRDefault="00935C76" w:rsidP="00935C76">
            <w:pPr>
              <w:pStyle w:val="ListParagraph"/>
              <w:autoSpaceDE w:val="0"/>
              <w:autoSpaceDN w:val="0"/>
              <w:adjustRightInd w:val="0"/>
              <w:ind w:left="1440"/>
              <w:rPr>
                <w:rFonts w:ascii="TimesNewRomanPSMT" w:hAnsi="TimesNewRomanPSMT" w:cs="TimesNewRomanPSMT"/>
                <w:sz w:val="18"/>
                <w:szCs w:val="18"/>
              </w:rPr>
            </w:pPr>
          </w:p>
        </w:tc>
      </w:tr>
    </w:tbl>
    <w:p w14:paraId="1F12CB82" w14:textId="5B34BE24" w:rsidR="000067A5" w:rsidRDefault="00B93A4A" w:rsidP="00B93A4A">
      <w:pPr>
        <w:tabs>
          <w:tab w:val="left" w:pos="466"/>
        </w:tabs>
      </w:pPr>
      <w:r>
        <w:tab/>
      </w:r>
    </w:p>
    <w:sectPr w:rsidR="000067A5" w:rsidSect="00935C76">
      <w:footerReference w:type="default" r:id="rId9"/>
      <w:pgSz w:w="12240" w:h="15840"/>
      <w:pgMar w:top="720" w:right="1080" w:bottom="720" w:left="1080" w:header="720" w:footer="6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A0A2" w14:textId="77777777" w:rsidR="008254E7" w:rsidRDefault="008254E7" w:rsidP="003225F0">
      <w:pPr>
        <w:spacing w:after="0" w:line="240" w:lineRule="auto"/>
      </w:pPr>
      <w:r>
        <w:separator/>
      </w:r>
    </w:p>
  </w:endnote>
  <w:endnote w:type="continuationSeparator" w:id="0">
    <w:p w14:paraId="0C236C5B" w14:textId="77777777" w:rsidR="008254E7" w:rsidRDefault="008254E7" w:rsidP="0032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MS Gothic"/>
    <w:panose1 w:val="00000000000000000000"/>
    <w:charset w:val="00"/>
    <w:family w:val="roman"/>
    <w:notTrueType/>
    <w:pitch w:val="default"/>
    <w:sig w:usb0="00000000"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B85D" w14:textId="69E809E2" w:rsidR="003225F0" w:rsidRPr="00692DE1" w:rsidRDefault="00621261">
    <w:pPr>
      <w:pStyle w:val="Footer"/>
      <w:rPr>
        <w:sz w:val="16"/>
        <w:szCs w:val="16"/>
      </w:rPr>
    </w:pPr>
    <w:r>
      <w:rPr>
        <w:sz w:val="16"/>
        <w:szCs w:val="16"/>
      </w:rPr>
      <w:t>1/1/202</w:t>
    </w:r>
    <w:r w:rsidR="00450273">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E0DB" w14:textId="77777777" w:rsidR="008254E7" w:rsidRDefault="008254E7" w:rsidP="003225F0">
      <w:pPr>
        <w:spacing w:after="0" w:line="240" w:lineRule="auto"/>
      </w:pPr>
      <w:r>
        <w:separator/>
      </w:r>
    </w:p>
  </w:footnote>
  <w:footnote w:type="continuationSeparator" w:id="0">
    <w:p w14:paraId="4DD6093B" w14:textId="77777777" w:rsidR="008254E7" w:rsidRDefault="008254E7" w:rsidP="00322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6736"/>
    <w:multiLevelType w:val="hybridMultilevel"/>
    <w:tmpl w:val="38C65D3E"/>
    <w:lvl w:ilvl="0" w:tplc="3F3A29C6">
      <w:start w:val="1"/>
      <w:numFmt w:val="decimal"/>
      <w:lvlText w:val="%1."/>
      <w:lvlJc w:val="left"/>
      <w:pPr>
        <w:ind w:left="720" w:hanging="360"/>
      </w:pPr>
      <w:rPr>
        <w:rFonts w:ascii="TimesNewRomanPSMT" w:hAnsi="TimesNewRomanPSMT" w:cs="TimesNewRomanPSMT" w:hint="default"/>
        <w:b w:val="0"/>
      </w:rPr>
    </w:lvl>
    <w:lvl w:ilvl="1" w:tplc="8F6A3A2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F82BE8"/>
    <w:multiLevelType w:val="hybridMultilevel"/>
    <w:tmpl w:val="069E2A3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558412">
    <w:abstractNumId w:val="1"/>
  </w:num>
  <w:num w:numId="2" w16cid:durableId="192934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86"/>
    <w:rsid w:val="000067A5"/>
    <w:rsid w:val="00011F64"/>
    <w:rsid w:val="00016BEA"/>
    <w:rsid w:val="00016CDB"/>
    <w:rsid w:val="000750C2"/>
    <w:rsid w:val="00083BFE"/>
    <w:rsid w:val="000C2377"/>
    <w:rsid w:val="000D05AD"/>
    <w:rsid w:val="000D4431"/>
    <w:rsid w:val="000D50DC"/>
    <w:rsid w:val="00192335"/>
    <w:rsid w:val="001F1580"/>
    <w:rsid w:val="002142F1"/>
    <w:rsid w:val="0022162D"/>
    <w:rsid w:val="00223D52"/>
    <w:rsid w:val="00265DEC"/>
    <w:rsid w:val="002830F8"/>
    <w:rsid w:val="00295493"/>
    <w:rsid w:val="002A7C16"/>
    <w:rsid w:val="002C666C"/>
    <w:rsid w:val="003225F0"/>
    <w:rsid w:val="0033626F"/>
    <w:rsid w:val="00341FDB"/>
    <w:rsid w:val="00392723"/>
    <w:rsid w:val="003958ED"/>
    <w:rsid w:val="003C784C"/>
    <w:rsid w:val="003E55BE"/>
    <w:rsid w:val="00405CDF"/>
    <w:rsid w:val="00411CBA"/>
    <w:rsid w:val="0041322E"/>
    <w:rsid w:val="00417EAB"/>
    <w:rsid w:val="00426F6A"/>
    <w:rsid w:val="00437A57"/>
    <w:rsid w:val="00442A9B"/>
    <w:rsid w:val="00450273"/>
    <w:rsid w:val="00462926"/>
    <w:rsid w:val="00472BB8"/>
    <w:rsid w:val="004D31EC"/>
    <w:rsid w:val="004D4FAF"/>
    <w:rsid w:val="004E4044"/>
    <w:rsid w:val="00505D08"/>
    <w:rsid w:val="00512486"/>
    <w:rsid w:val="00516EE2"/>
    <w:rsid w:val="005405FD"/>
    <w:rsid w:val="00584A98"/>
    <w:rsid w:val="005C22DD"/>
    <w:rsid w:val="005C2D01"/>
    <w:rsid w:val="005E29D2"/>
    <w:rsid w:val="00616440"/>
    <w:rsid w:val="00616B5C"/>
    <w:rsid w:val="00621261"/>
    <w:rsid w:val="00635ACB"/>
    <w:rsid w:val="0065485A"/>
    <w:rsid w:val="0065619F"/>
    <w:rsid w:val="00692DE1"/>
    <w:rsid w:val="00697514"/>
    <w:rsid w:val="006B7147"/>
    <w:rsid w:val="006C3187"/>
    <w:rsid w:val="00732D91"/>
    <w:rsid w:val="00732F99"/>
    <w:rsid w:val="007770A1"/>
    <w:rsid w:val="00792B00"/>
    <w:rsid w:val="007B188C"/>
    <w:rsid w:val="007C3179"/>
    <w:rsid w:val="007C5C3A"/>
    <w:rsid w:val="007D1832"/>
    <w:rsid w:val="007E4818"/>
    <w:rsid w:val="008035A1"/>
    <w:rsid w:val="00811103"/>
    <w:rsid w:val="008143BD"/>
    <w:rsid w:val="008254E7"/>
    <w:rsid w:val="00836E28"/>
    <w:rsid w:val="00866BFE"/>
    <w:rsid w:val="0087731C"/>
    <w:rsid w:val="008A2F63"/>
    <w:rsid w:val="008C60A7"/>
    <w:rsid w:val="008D2F94"/>
    <w:rsid w:val="008D496D"/>
    <w:rsid w:val="009141CC"/>
    <w:rsid w:val="00935C76"/>
    <w:rsid w:val="009540FE"/>
    <w:rsid w:val="009901B9"/>
    <w:rsid w:val="009A1D9F"/>
    <w:rsid w:val="009F62A6"/>
    <w:rsid w:val="00A2404D"/>
    <w:rsid w:val="00A53CE9"/>
    <w:rsid w:val="00A65BC9"/>
    <w:rsid w:val="00A83F14"/>
    <w:rsid w:val="00A8750F"/>
    <w:rsid w:val="00AA4EBC"/>
    <w:rsid w:val="00AC1B8E"/>
    <w:rsid w:val="00B00A63"/>
    <w:rsid w:val="00B62EB7"/>
    <w:rsid w:val="00B81EE8"/>
    <w:rsid w:val="00B828E6"/>
    <w:rsid w:val="00B93A4A"/>
    <w:rsid w:val="00BC00E2"/>
    <w:rsid w:val="00BD0227"/>
    <w:rsid w:val="00CC2D06"/>
    <w:rsid w:val="00D80313"/>
    <w:rsid w:val="00D83196"/>
    <w:rsid w:val="00D832AB"/>
    <w:rsid w:val="00D973A7"/>
    <w:rsid w:val="00DB5C07"/>
    <w:rsid w:val="00DE0F8B"/>
    <w:rsid w:val="00DE13B6"/>
    <w:rsid w:val="00E07180"/>
    <w:rsid w:val="00E57495"/>
    <w:rsid w:val="00E810D6"/>
    <w:rsid w:val="00E9616D"/>
    <w:rsid w:val="00EC3412"/>
    <w:rsid w:val="00EC7C3F"/>
    <w:rsid w:val="00F92345"/>
    <w:rsid w:val="00FA4D0F"/>
    <w:rsid w:val="00FC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58AA7"/>
  <w15:docId w15:val="{C4C6906C-A02D-49C4-AF61-7D64A74A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24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22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5F0"/>
  </w:style>
  <w:style w:type="paragraph" w:styleId="Footer">
    <w:name w:val="footer"/>
    <w:basedOn w:val="Normal"/>
    <w:link w:val="FooterChar"/>
    <w:uiPriority w:val="99"/>
    <w:unhideWhenUsed/>
    <w:rsid w:val="00322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5F0"/>
  </w:style>
  <w:style w:type="paragraph" w:styleId="BalloonText">
    <w:name w:val="Balloon Text"/>
    <w:basedOn w:val="Normal"/>
    <w:link w:val="BalloonTextChar"/>
    <w:uiPriority w:val="99"/>
    <w:semiHidden/>
    <w:unhideWhenUsed/>
    <w:rsid w:val="00322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5F0"/>
    <w:rPr>
      <w:rFonts w:ascii="Tahoma" w:hAnsi="Tahoma" w:cs="Tahoma"/>
      <w:sz w:val="16"/>
      <w:szCs w:val="16"/>
    </w:rPr>
  </w:style>
  <w:style w:type="paragraph" w:styleId="ListParagraph">
    <w:name w:val="List Paragraph"/>
    <w:basedOn w:val="Normal"/>
    <w:uiPriority w:val="34"/>
    <w:qFormat/>
    <w:rsid w:val="00283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88991-02BD-43C9-BBB5-8B8993D4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Ganda</dc:creator>
  <cp:lastModifiedBy>Setiawan Ganda</cp:lastModifiedBy>
  <cp:revision>11</cp:revision>
  <cp:lastPrinted>2010-01-05T17:08:00Z</cp:lastPrinted>
  <dcterms:created xsi:type="dcterms:W3CDTF">2016-11-13T19:58:00Z</dcterms:created>
  <dcterms:modified xsi:type="dcterms:W3CDTF">2022-09-17T21:13:00Z</dcterms:modified>
</cp:coreProperties>
</file>